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62323806"/>
        <w:docPartObj>
          <w:docPartGallery w:val="Cover Pages"/>
          <w:docPartUnique/>
        </w:docPartObj>
      </w:sdt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562B0D1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5DDD8140" w:rsidR="00BF5E88" w:rsidRDefault="000C2AE2"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5DDD8140" w:rsidR="00BF5E88" w:rsidRDefault="000C2AE2"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22CCD319"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0C2AE2">
        <w:rPr>
          <w:color w:val="002060"/>
          <w:sz w:val="24"/>
          <w:szCs w:val="24"/>
        </w:rPr>
        <w:t xml:space="preserve">Pendre Surgery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066AA29A" w:rsidR="00BF5E88" w:rsidRPr="00104B2A" w:rsidRDefault="000C2AE2" w:rsidP="00BF5E88">
                            <w:pPr>
                              <w:pStyle w:val="ListParagraph"/>
                              <w:ind w:left="0"/>
                              <w:rPr>
                                <w:color w:val="1F4E79" w:themeColor="accent5" w:themeShade="80"/>
                                <w:sz w:val="24"/>
                                <w:szCs w:val="24"/>
                              </w:rPr>
                            </w:pPr>
                            <w:r>
                              <w:rPr>
                                <w:color w:val="002060"/>
                                <w:sz w:val="24"/>
                                <w:szCs w:val="24"/>
                              </w:rPr>
                              <w:t>Pendre Surgery</w:t>
                            </w:r>
                            <w:r w:rsidR="00334A5E">
                              <w:rPr>
                                <w:color w:val="00206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B1FB9" id="_x0000_t202" coordsize="21600,21600" o:spt="202" path="m,l,21600r21600,l21600,xe">
                <v:stroke joinstyle="miter"/>
                <v:path gradientshapeok="t" o:connecttype="rect"/>
              </v:shapetype>
              <v:shape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066AA29A" w:rsidR="00BF5E88" w:rsidRPr="00104B2A" w:rsidRDefault="000C2AE2" w:rsidP="00BF5E88">
                      <w:pPr>
                        <w:pStyle w:val="ListParagraph"/>
                        <w:ind w:left="0"/>
                        <w:rPr>
                          <w:color w:val="1F4E79" w:themeColor="accent5" w:themeShade="80"/>
                          <w:sz w:val="24"/>
                          <w:szCs w:val="24"/>
                        </w:rPr>
                      </w:pPr>
                      <w:r>
                        <w:rPr>
                          <w:color w:val="002060"/>
                          <w:sz w:val="24"/>
                          <w:szCs w:val="24"/>
                        </w:rPr>
                        <w:t>Pendre Surgery</w:t>
                      </w:r>
                      <w:r w:rsidR="00334A5E">
                        <w:rPr>
                          <w:color w:val="00206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07616EC6" w14:textId="7287DF98" w:rsidR="00BF5E88" w:rsidRDefault="00BF5E88" w:rsidP="00BF5E88">
      <w:pPr>
        <w:jc w:val="both"/>
        <w:rPr>
          <w:color w:val="1F4E79" w:themeColor="accent5" w:themeShade="80"/>
          <w:sz w:val="24"/>
          <w:szCs w:val="24"/>
        </w:rPr>
      </w:pPr>
      <w:r w:rsidRPr="00484092">
        <w:rPr>
          <w:color w:val="1F4E79" w:themeColor="accent5" w:themeShade="80"/>
          <w:sz w:val="24"/>
          <w:szCs w:val="24"/>
        </w:rPr>
        <w:t xml:space="preserve">We may also collect your personal image on surgery CCTV when you attend the practice </w:t>
      </w:r>
      <w:r w:rsidRPr="00100380">
        <w:rPr>
          <w:color w:val="1F4E79" w:themeColor="accent5" w:themeShade="80"/>
          <w:sz w:val="24"/>
          <w:szCs w:val="24"/>
        </w:rPr>
        <w:t>premises</w:t>
      </w:r>
      <w:r w:rsidR="000C2AE2">
        <w:rPr>
          <w:color w:val="1F4E79" w:themeColor="accent5" w:themeShade="80"/>
          <w:sz w:val="24"/>
          <w:szCs w:val="24"/>
        </w:rPr>
        <w:t xml:space="preserve">. (rear car park only). </w:t>
      </w:r>
    </w:p>
    <w:p w14:paraId="3FE352A2" w14:textId="77777777" w:rsidR="00BF5E88" w:rsidRPr="00D50005" w:rsidRDefault="00BF5E88" w:rsidP="00BF5E88">
      <w:pPr>
        <w:jc w:val="both"/>
        <w:rPr>
          <w:b/>
          <w:iCs/>
          <w:color w:val="1F4E79" w:themeColor="accent5" w:themeShade="80"/>
          <w:sz w:val="28"/>
          <w:szCs w:val="29"/>
          <w:u w:val="single"/>
        </w:rPr>
      </w:pPr>
      <w:r w:rsidRPr="00D50005">
        <w:rPr>
          <w:iCs/>
          <w:color w:val="1F4E79" w:themeColor="accent5" w:themeShade="80"/>
          <w:sz w:val="24"/>
          <w:szCs w:val="24"/>
          <w:u w:val="single"/>
        </w:rPr>
        <w:t xml:space="preserve"> </w:t>
      </w: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proofErr w:type="gramStart"/>
      <w:r w:rsidR="00E867F6" w:rsidRPr="00737F36">
        <w:rPr>
          <w:color w:val="1F4E79" w:themeColor="accent5" w:themeShade="80"/>
          <w:sz w:val="24"/>
          <w:szCs w:val="24"/>
        </w:rPr>
        <w:t>routes</w:t>
      </w:r>
      <w:r w:rsidR="00100380">
        <w:rPr>
          <w:color w:val="1F4E79" w:themeColor="accent5" w:themeShade="80"/>
          <w:sz w:val="24"/>
          <w:szCs w:val="24"/>
        </w:rPr>
        <w:t>,</w:t>
      </w:r>
      <w:proofErr w:type="gramEnd"/>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7372BAE5" w14:textId="1CE4D103" w:rsidR="00BF5E88" w:rsidRPr="006B22C4" w:rsidRDefault="00BF5E88" w:rsidP="006B22C4">
      <w:pPr>
        <w:pStyle w:val="ListParagraph"/>
        <w:numPr>
          <w:ilvl w:val="0"/>
          <w:numId w:val="4"/>
        </w:numPr>
        <w:jc w:val="both"/>
        <w:rPr>
          <w:color w:val="1F4E79" w:themeColor="accent5" w:themeShade="80"/>
          <w:sz w:val="24"/>
          <w:szCs w:val="24"/>
        </w:rPr>
      </w:pPr>
      <w:r w:rsidRPr="006B22C4">
        <w:rPr>
          <w:color w:val="1F4E79" w:themeColor="accent5" w:themeShade="80"/>
          <w:sz w:val="24"/>
          <w:szCs w:val="24"/>
        </w:rPr>
        <w:t>When your image is captured on practice CCTV Cameras</w:t>
      </w:r>
      <w:r w:rsidR="00992E4A" w:rsidRPr="006B22C4">
        <w:rPr>
          <w:color w:val="1F4E79" w:themeColor="accent5" w:themeShade="80"/>
          <w:sz w:val="24"/>
          <w:szCs w:val="24"/>
        </w:rPr>
        <w:t>.</w:t>
      </w:r>
      <w:r w:rsidRPr="006B22C4">
        <w:rPr>
          <w:color w:val="1F4E79" w:themeColor="accent5" w:themeShade="80"/>
          <w:sz w:val="24"/>
          <w:szCs w:val="24"/>
        </w:rPr>
        <w:t xml:space="preserve"> </w:t>
      </w:r>
      <w:r w:rsidR="000C2AE2">
        <w:rPr>
          <w:color w:val="1F4E79" w:themeColor="accent5" w:themeShade="80"/>
          <w:sz w:val="24"/>
          <w:szCs w:val="24"/>
        </w:rPr>
        <w:t>(rear car park only).</w:t>
      </w:r>
    </w:p>
    <w:p w14:paraId="0C5CA3B4" w14:textId="2439E2D4"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 </w:t>
      </w:r>
      <w:r w:rsidR="000C2AE2" w:rsidRPr="000C2AE2">
        <w:rPr>
          <w:color w:val="1F4E79" w:themeColor="accent5" w:themeShade="80"/>
          <w:sz w:val="24"/>
          <w:szCs w:val="24"/>
        </w:rPr>
        <w:t>https://www.pendresurgery.co.uk/auth/0cbfd0e5-5dee-448d-b176-7b130b705dda/Cookies</w:t>
      </w:r>
      <w:r w:rsidR="000C2AE2">
        <w:rPr>
          <w:color w:val="1F4E79" w:themeColor="accent5" w:themeShade="80"/>
          <w:sz w:val="24"/>
          <w:szCs w:val="24"/>
        </w:rPr>
        <w:t>.</w:t>
      </w:r>
    </w:p>
    <w:p w14:paraId="5900DAA6"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lastRenderedPageBreak/>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lastRenderedPageBreak/>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lastRenderedPageBreak/>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11C82BA9"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000C2AE2">
        <w:rPr>
          <w:color w:val="1F4E79" w:themeColor="accent5" w:themeShade="80"/>
          <w:sz w:val="24"/>
          <w:szCs w:val="24"/>
        </w:rPr>
        <w:t>. Please ask us for a copy of this policy if you require it.</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7BF92344" w:rsidR="00BF5E88" w:rsidRPr="00141D7F" w:rsidRDefault="000C2AE2" w:rsidP="00BF5E88">
      <w:pPr>
        <w:jc w:val="both"/>
        <w:rPr>
          <w:color w:val="002060"/>
          <w:sz w:val="24"/>
          <w:szCs w:val="24"/>
        </w:rPr>
      </w:pPr>
      <w:r>
        <w:rPr>
          <w:color w:val="002060"/>
          <w:sz w:val="24"/>
          <w:szCs w:val="24"/>
        </w:rPr>
        <w:t>Pendre Surgery</w:t>
      </w:r>
    </w:p>
    <w:p w14:paraId="217956AB" w14:textId="0471862C" w:rsidR="007F1199" w:rsidRPr="000C2AE2" w:rsidRDefault="007F1199" w:rsidP="00BF5E88">
      <w:pPr>
        <w:jc w:val="both"/>
        <w:rPr>
          <w:color w:val="002060"/>
          <w:sz w:val="24"/>
          <w:szCs w:val="24"/>
        </w:rPr>
      </w:pPr>
      <w:r w:rsidRPr="000C2AE2">
        <w:rPr>
          <w:color w:val="002060"/>
          <w:sz w:val="24"/>
          <w:szCs w:val="24"/>
        </w:rPr>
        <w:t>TEL:</w:t>
      </w:r>
      <w:r w:rsidR="000C2AE2" w:rsidRPr="000C2AE2">
        <w:rPr>
          <w:color w:val="002060"/>
          <w:sz w:val="24"/>
          <w:szCs w:val="24"/>
        </w:rPr>
        <w:t xml:space="preserve"> 01352 759163</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Glan-yr-</w:t>
      </w:r>
      <w:proofErr w:type="spellStart"/>
      <w:r w:rsidRPr="00276416">
        <w:rPr>
          <w:color w:val="1F4E79" w:themeColor="accent5" w:themeShade="80"/>
          <w:sz w:val="24"/>
          <w:szCs w:val="24"/>
        </w:rPr>
        <w:t>Afon</w:t>
      </w:r>
      <w:proofErr w:type="spellEnd"/>
      <w:r w:rsidRPr="00276416">
        <w:rPr>
          <w:color w:val="1F4E79" w:themeColor="accent5" w:themeShade="80"/>
          <w:sz w:val="24"/>
          <w:szCs w:val="24"/>
        </w:rPr>
        <w:t xml:space="preserve">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52F7CA1A" w14:textId="77777777" w:rsidR="000C2AE2" w:rsidRDefault="000C2AE2"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F73930">
          <w:footerReference w:type="default" r:id="rId15"/>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679D3987"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334A5E">
              <w:rPr>
                <w:rFonts w:ascii="Arial" w:hAnsi="Arial" w:cs="Arial"/>
                <w:b w:val="0"/>
                <w:bCs w:val="0"/>
                <w:sz w:val="24"/>
                <w:szCs w:val="24"/>
              </w:rPr>
              <w:t>a local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6"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lastRenderedPageBreak/>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color w:val="FFFFFF" w:themeColor="background1"/>
                <w:sz w:val="24"/>
                <w:szCs w:val="24"/>
                <w:u w:val="single"/>
              </w:rPr>
            </w:pPr>
          </w:p>
          <w:p w14:paraId="371440BF" w14:textId="77777777" w:rsidR="000C2AE2" w:rsidRDefault="000C2AE2" w:rsidP="00A657E6">
            <w:pPr>
              <w:rPr>
                <w:rFonts w:ascii="Arial" w:hAnsi="Arial" w:cs="Arial"/>
                <w:color w:val="FFFFFF" w:themeColor="background1"/>
                <w:sz w:val="24"/>
                <w:szCs w:val="24"/>
                <w:u w:val="single"/>
              </w:rPr>
            </w:pPr>
          </w:p>
          <w:p w14:paraId="0F1B2799" w14:textId="77777777" w:rsidR="000C2AE2" w:rsidRDefault="000C2AE2"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lastRenderedPageBreak/>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1659AA1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p w14:paraId="71EB11EB" w14:textId="77777777" w:rsidR="00334A5E" w:rsidRDefault="00334A5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16AD2ED" w14:textId="00DDF66D" w:rsidR="00334A5E" w:rsidRPr="00334A5E" w:rsidRDefault="00334A5E" w:rsidP="00334A5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Our eConsult triage system – Stores </w:t>
            </w:r>
            <w:r w:rsidRPr="00334A5E">
              <w:rPr>
                <w:rFonts w:ascii="Arial" w:hAnsi="Arial" w:cs="Arial"/>
                <w:sz w:val="24"/>
                <w:szCs w:val="24"/>
              </w:rPr>
              <w:t xml:space="preserve">Data </w:t>
            </w:r>
            <w:r w:rsidRPr="00334A5E">
              <w:rPr>
                <w:rFonts w:ascii="Arial" w:hAnsi="Arial" w:cs="Arial"/>
                <w:sz w:val="24"/>
                <w:szCs w:val="24"/>
              </w:rPr>
              <w:t>storage</w:t>
            </w:r>
            <w:r w:rsidRPr="00334A5E">
              <w:rPr>
                <w:rFonts w:ascii="Arial" w:hAnsi="Arial" w:cs="Arial"/>
                <w:b/>
                <w:bCs/>
                <w:sz w:val="24"/>
                <w:szCs w:val="24"/>
              </w:rPr>
              <w:t>:</w:t>
            </w:r>
            <w:r w:rsidRPr="00334A5E">
              <w:rPr>
                <w:rFonts w:ascii="Arial" w:hAnsi="Arial" w:cs="Arial"/>
                <w:b/>
                <w:bCs/>
                <w:sz w:val="24"/>
                <w:szCs w:val="24"/>
              </w:rPr>
              <w:t xml:space="preserve"> </w:t>
            </w:r>
            <w:r>
              <w:rPr>
                <w:rFonts w:ascii="Arial" w:hAnsi="Arial" w:cs="Arial"/>
                <w:sz w:val="24"/>
                <w:szCs w:val="24"/>
              </w:rPr>
              <w:t>eConsult</w:t>
            </w:r>
            <w:r w:rsidRPr="00334A5E">
              <w:rPr>
                <w:rFonts w:ascii="Arial" w:hAnsi="Arial" w:cs="Arial"/>
                <w:sz w:val="24"/>
                <w:szCs w:val="24"/>
              </w:rPr>
              <w:t xml:space="preserve"> store the data for 8yrs in line with Records Management code of practice. </w:t>
            </w:r>
          </w:p>
          <w:p w14:paraId="772DBBED" w14:textId="7A2A80BF" w:rsidR="00334A5E" w:rsidRDefault="00334A5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7"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407C3EB6" w14:textId="77777777" w:rsidR="000C2AE2" w:rsidRDefault="000C2AE2" w:rsidP="00F2476D"/>
    <w:p w14:paraId="08615452" w14:textId="77777777" w:rsidR="000C2AE2" w:rsidRDefault="000C2AE2"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14B9C4FD" w:rsidR="00F2476D" w:rsidRPr="00936BC6" w:rsidRDefault="00F2476D">
            <w:pPr>
              <w:rPr>
                <w:b w:val="0"/>
                <w:bCs w:val="0"/>
              </w:rPr>
            </w:pPr>
            <w:r w:rsidRPr="00936BC6">
              <w:rPr>
                <w:rFonts w:ascii="Arial" w:hAnsi="Arial" w:cs="Arial"/>
                <w:b w:val="0"/>
                <w:bCs w:val="0"/>
                <w:sz w:val="24"/>
                <w:szCs w:val="24"/>
              </w:rPr>
              <w:t xml:space="preserve">The law permits </w:t>
            </w:r>
            <w:r w:rsidRPr="00936BC6">
              <w:rPr>
                <w:rFonts w:ascii="Arial" w:hAnsi="Arial" w:cs="Arial"/>
                <w:b w:val="0"/>
                <w:bCs w:val="0"/>
                <w:sz w:val="24"/>
                <w:szCs w:val="24"/>
                <w:highlight w:val="yellow"/>
              </w:rPr>
              <w:t>[name of practice]</w:t>
            </w:r>
            <w:r w:rsidRPr="00936BC6">
              <w:rPr>
                <w:rFonts w:ascii="Arial" w:hAnsi="Arial" w:cs="Arial"/>
                <w:b w:val="0"/>
                <w:bCs w:val="0"/>
                <w:sz w:val="24"/>
                <w:szCs w:val="24"/>
              </w:rPr>
              <w:t xml:space="preserve"> to share information with </w:t>
            </w:r>
            <w:hyperlink r:id="rId18"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9" w:history="1">
              <w:r w:rsidR="00F2476D">
                <w:rPr>
                  <w:rStyle w:val="Hyperlink"/>
                  <w:rFonts w:ascii="Arial" w:hAnsi="Arial" w:cs="Arial"/>
                  <w:bCs/>
                  <w:sz w:val="24"/>
                  <w:szCs w:val="24"/>
                </w:rPr>
                <w:t>Public Health Wales</w:t>
              </w:r>
            </w:hyperlink>
          </w:p>
          <w:p w14:paraId="5DF827DA" w14:textId="18EC85C3"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0"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1"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2"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3"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54E546EF" w14:textId="77777777" w:rsidR="00334A5E" w:rsidRDefault="00334A5E" w:rsidP="00F2476D"/>
    <w:p w14:paraId="5E9942B5" w14:textId="77777777" w:rsidR="00334A5E" w:rsidRDefault="00334A5E" w:rsidP="00F2476D"/>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4"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44D4579E"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5"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6"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7"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 xml:space="preserve">SAIL Databank does not receive or handle identifiable </w:t>
            </w:r>
            <w:r w:rsidRPr="00617B09">
              <w:rPr>
                <w:rFonts w:ascii="Arial" w:hAnsi="Arial" w:cs="Arial"/>
                <w:b w:val="0"/>
                <w:bCs w:val="0"/>
                <w:sz w:val="24"/>
                <w:szCs w:val="24"/>
              </w:rPr>
              <w:lastRenderedPageBreak/>
              <w:t>data.</w:t>
            </w:r>
            <w:r w:rsidR="000E6C70">
              <w:rPr>
                <w:rFonts w:ascii="Arial" w:hAnsi="Arial" w:cs="Arial"/>
                <w:b w:val="0"/>
                <w:bCs w:val="0"/>
                <w:sz w:val="24"/>
                <w:szCs w:val="24"/>
              </w:rPr>
              <w:t xml:space="preserve"> Details on the anonymisation and Linkage Process in available </w:t>
            </w:r>
            <w:hyperlink r:id="rId28"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9">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14E2B320" w:rsidR="00D5433E" w:rsidRDefault="00D5433E" w:rsidP="313A11E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18B7AE19" w14:textId="77777777" w:rsidR="000C2AE2" w:rsidRDefault="000C2AE2">
      <w:pPr>
        <w:rPr>
          <w:color w:val="1F4E79" w:themeColor="accent5" w:themeShade="80"/>
          <w:sz w:val="24"/>
          <w:szCs w:val="24"/>
        </w:rPr>
      </w:pPr>
    </w:p>
    <w:p w14:paraId="7854AF29" w14:textId="77777777" w:rsidR="00D5433E" w:rsidRDefault="00D5433E">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152AA94A" w14:paraId="6A745190" w14:textId="77777777" w:rsidTr="44112D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24D88CB5" w14:textId="77E25DA6" w:rsidR="3F418B09" w:rsidRDefault="3F418B09" w:rsidP="152AA94A">
            <w:pPr>
              <w:rPr>
                <w:rFonts w:ascii="Arial" w:eastAsia="Arial" w:hAnsi="Arial" w:cs="Arial"/>
                <w:sz w:val="24"/>
                <w:szCs w:val="24"/>
              </w:rPr>
            </w:pPr>
            <w:r w:rsidRPr="152AA94A">
              <w:rPr>
                <w:rFonts w:ascii="Arial" w:eastAsia="Arial" w:hAnsi="Arial" w:cs="Arial"/>
                <w:sz w:val="24"/>
                <w:szCs w:val="24"/>
                <w:u w:val="single"/>
              </w:rPr>
              <w:t>National Exercise Referral Scheme (NERS)</w:t>
            </w:r>
            <w:r w:rsidRPr="152AA94A">
              <w:rPr>
                <w:rFonts w:ascii="Arial" w:eastAsia="Arial" w:hAnsi="Arial" w:cs="Arial"/>
                <w:sz w:val="24"/>
                <w:szCs w:val="24"/>
              </w:rPr>
              <w:t xml:space="preserve"> – Public Health Wales and your Local Authority are responsible for the management of the NERS service.  The NERS Service provides a 16-week programme of physical activity when referred by Clinical Staff at the practice.</w:t>
            </w:r>
          </w:p>
          <w:p w14:paraId="627806C2" w14:textId="4B9235F9" w:rsidR="152AA94A" w:rsidRDefault="152AA94A" w:rsidP="152AA94A">
            <w:pPr>
              <w:rPr>
                <w:rStyle w:val="normaltextrun"/>
                <w:rFonts w:ascii="Arial" w:hAnsi="Arial" w:cs="Arial"/>
                <w:sz w:val="24"/>
                <w:szCs w:val="24"/>
              </w:rPr>
            </w:pPr>
          </w:p>
        </w:tc>
      </w:tr>
      <w:tr w:rsidR="152AA94A" w14:paraId="2BFD9764" w14:textId="77777777" w:rsidTr="44112D0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3F0EA3AD" w14:textId="77777777" w:rsidR="152AA94A" w:rsidRDefault="152AA94A" w:rsidP="152AA94A">
            <w:pPr>
              <w:rPr>
                <w:rFonts w:ascii="Arial" w:hAnsi="Arial" w:cs="Arial"/>
                <w:sz w:val="24"/>
                <w:szCs w:val="24"/>
              </w:rPr>
            </w:pPr>
            <w:r w:rsidRPr="152AA94A">
              <w:rPr>
                <w:rFonts w:ascii="Arial" w:hAnsi="Arial" w:cs="Arial"/>
                <w:sz w:val="24"/>
                <w:szCs w:val="24"/>
              </w:rPr>
              <w:t>Purpose of the Processing</w:t>
            </w:r>
          </w:p>
        </w:tc>
        <w:tc>
          <w:tcPr>
            <w:tcW w:w="3827" w:type="dxa"/>
            <w:shd w:val="clear" w:color="auto" w:fill="D9E2F3" w:themeFill="accent1" w:themeFillTint="33"/>
          </w:tcPr>
          <w:p w14:paraId="498CE268" w14:textId="77777777" w:rsidR="152AA94A" w:rsidRDefault="152AA94A" w:rsidP="152AA9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152AA94A">
              <w:rPr>
                <w:rFonts w:ascii="Arial" w:hAnsi="Arial" w:cs="Arial"/>
                <w:b/>
                <w:bCs/>
                <w:sz w:val="24"/>
                <w:szCs w:val="24"/>
              </w:rPr>
              <w:t>Recipients</w:t>
            </w:r>
          </w:p>
        </w:tc>
        <w:tc>
          <w:tcPr>
            <w:tcW w:w="7797" w:type="dxa"/>
            <w:shd w:val="clear" w:color="auto" w:fill="D9E2F3" w:themeFill="accent1" w:themeFillTint="33"/>
          </w:tcPr>
          <w:p w14:paraId="639D18DA" w14:textId="77777777" w:rsidR="152AA94A" w:rsidRDefault="152AA94A" w:rsidP="152AA9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152AA94A">
              <w:rPr>
                <w:rFonts w:ascii="Arial" w:hAnsi="Arial" w:cs="Arial"/>
                <w:b/>
                <w:bCs/>
                <w:sz w:val="24"/>
                <w:szCs w:val="24"/>
              </w:rPr>
              <w:t>Legal Basis</w:t>
            </w:r>
          </w:p>
        </w:tc>
      </w:tr>
      <w:tr w:rsidR="152AA94A" w14:paraId="43256E50" w14:textId="77777777" w:rsidTr="44112D04">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29A58C67" w14:textId="38ECF0F5" w:rsidR="3AED8779" w:rsidRDefault="3AED8779" w:rsidP="152AA94A">
            <w:pPr>
              <w:rPr>
                <w:rFonts w:ascii="Arial" w:eastAsia="Arial" w:hAnsi="Arial" w:cs="Arial"/>
                <w:color w:val="000000" w:themeColor="text1"/>
                <w:sz w:val="24"/>
                <w:szCs w:val="24"/>
              </w:rPr>
            </w:pPr>
            <w:r w:rsidRPr="152AA94A">
              <w:rPr>
                <w:rFonts w:ascii="Arial" w:eastAsia="Arial" w:hAnsi="Arial" w:cs="Arial"/>
                <w:b w:val="0"/>
                <w:bCs w:val="0"/>
                <w:color w:val="000000" w:themeColor="text1"/>
                <w:sz w:val="24"/>
                <w:szCs w:val="24"/>
              </w:rPr>
              <w:t>Your personal Information is including relevant medical conditions, physical activity and habits is shared by the practice using a secure referral system to enable you to access the NERS Service.</w:t>
            </w:r>
          </w:p>
        </w:tc>
        <w:tc>
          <w:tcPr>
            <w:tcW w:w="3827" w:type="dxa"/>
          </w:tcPr>
          <w:p w14:paraId="162BB6AB" w14:textId="205A875C" w:rsidR="3AED8779" w:rsidRDefault="3AED8779" w:rsidP="44112D0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44112D04">
              <w:rPr>
                <w:rFonts w:ascii="Arial" w:eastAsia="Arial" w:hAnsi="Arial" w:cs="Arial"/>
                <w:color w:val="000000" w:themeColor="text1"/>
                <w:sz w:val="24"/>
                <w:szCs w:val="24"/>
              </w:rPr>
              <w:t>Public Health Wales and the relevant NERS Providers in your area which can include the Local Authority, Leisure centres/ Trusts and the Local Health Board, are data controllers once the referral is made. Referrals to this service will be made and information  shared using an Elect</w:t>
            </w:r>
            <w:r w:rsidR="67C25CB8" w:rsidRPr="44112D04">
              <w:rPr>
                <w:rFonts w:ascii="Arial" w:eastAsia="Arial" w:hAnsi="Arial" w:cs="Arial"/>
                <w:color w:val="000000" w:themeColor="text1"/>
                <w:sz w:val="24"/>
                <w:szCs w:val="24"/>
              </w:rPr>
              <w:t>ronic</w:t>
            </w:r>
            <w:r w:rsidRPr="44112D04">
              <w:rPr>
                <w:rFonts w:ascii="Arial" w:eastAsia="Arial" w:hAnsi="Arial" w:cs="Arial"/>
                <w:color w:val="000000" w:themeColor="text1"/>
                <w:sz w:val="24"/>
                <w:szCs w:val="24"/>
              </w:rPr>
              <w:t xml:space="preserve"> referral process called “Thesus” operated by a data processor Cyber Media Solutions for further information please contact Public Health Wales privacy information in relation to this service can be found </w:t>
            </w:r>
            <w:hyperlink r:id="rId30">
              <w:r w:rsidRPr="44112D04">
                <w:rPr>
                  <w:rStyle w:val="Hyperlink"/>
                  <w:highlight w:val="yellow"/>
                </w:rPr>
                <w:t>here</w:t>
              </w:r>
            </w:hyperlink>
          </w:p>
          <w:p w14:paraId="70A29171" w14:textId="2C317835" w:rsidR="152AA94A" w:rsidRDefault="152AA94A" w:rsidP="152AA9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tcPr>
          <w:p w14:paraId="57D643BB" w14:textId="2E0D7297" w:rsidR="3AED8779" w:rsidRDefault="3AED8779"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52AA94A">
              <w:rPr>
                <w:rFonts w:ascii="Arial" w:eastAsia="Arial" w:hAnsi="Arial" w:cs="Arial"/>
                <w:color w:val="000000" w:themeColor="text1"/>
                <w:sz w:val="24"/>
                <w:szCs w:val="24"/>
              </w:rPr>
              <w:t>Article 6(1)(e) ‘</w:t>
            </w:r>
            <w:proofErr w:type="gramStart"/>
            <w:r w:rsidRPr="152AA94A">
              <w:rPr>
                <w:rFonts w:ascii="Arial" w:eastAsia="Arial" w:hAnsi="Arial" w:cs="Arial"/>
                <w:color w:val="000000" w:themeColor="text1"/>
                <w:sz w:val="24"/>
                <w:szCs w:val="24"/>
              </w:rPr>
              <w:t>….necessary</w:t>
            </w:r>
            <w:proofErr w:type="gramEnd"/>
            <w:r w:rsidRPr="152AA94A">
              <w:rPr>
                <w:rFonts w:ascii="Arial" w:eastAsia="Arial" w:hAnsi="Arial" w:cs="Arial"/>
                <w:color w:val="000000" w:themeColor="text1"/>
                <w:sz w:val="24"/>
                <w:szCs w:val="24"/>
              </w:rPr>
              <w:t xml:space="preserve"> for the performance of a task carried out in the public interest or in the exercise of official authority…’</w:t>
            </w:r>
          </w:p>
          <w:p w14:paraId="72B57637" w14:textId="45DD14ED" w:rsidR="152AA94A" w:rsidRDefault="152AA94A"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p w14:paraId="79CAE35B" w14:textId="3224A6CB" w:rsidR="3AED8779" w:rsidRDefault="3AED8779"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52AA94A">
              <w:rPr>
                <w:rFonts w:ascii="Arial" w:eastAsia="Arial" w:hAnsi="Arial" w:cs="Arial"/>
                <w:color w:val="000000" w:themeColor="text1"/>
                <w:sz w:val="24"/>
                <w:szCs w:val="24"/>
              </w:rPr>
              <w:t>Article 9(2)(h</w:t>
            </w:r>
            <w:proofErr w:type="gramStart"/>
            <w:r w:rsidRPr="152AA94A">
              <w:rPr>
                <w:rFonts w:ascii="Arial" w:eastAsia="Arial" w:hAnsi="Arial" w:cs="Arial"/>
                <w:color w:val="000000" w:themeColor="text1"/>
                <w:sz w:val="24"/>
                <w:szCs w:val="24"/>
              </w:rPr>
              <w:t>) ’</w:t>
            </w:r>
            <w:proofErr w:type="gramEnd"/>
            <w:r w:rsidRPr="152AA94A">
              <w:rPr>
                <w:rFonts w:ascii="Arial" w:eastAsia="Arial" w:hAnsi="Arial" w:cs="Arial"/>
                <w:color w:val="000000" w:themeColor="text1"/>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50E2C62" w14:textId="6A7EEC89" w:rsidR="152AA94A" w:rsidRDefault="152AA94A" w:rsidP="152AA9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5B570F9" w14:textId="3C703558" w:rsidR="00D5433E" w:rsidRDefault="00D5433E" w:rsidP="152AA94A">
      <w:pPr>
        <w:rPr>
          <w:color w:val="1F4E79" w:themeColor="accent5" w:themeShade="80"/>
          <w:sz w:val="24"/>
          <w:szCs w:val="24"/>
        </w:rPr>
      </w:pPr>
    </w:p>
    <w:p w14:paraId="3FF9ED07" w14:textId="77777777" w:rsidR="00D5433E" w:rsidRDefault="00D5433E">
      <w:pPr>
        <w:rPr>
          <w:color w:val="1F4E79" w:themeColor="accent5" w:themeShade="80"/>
          <w:sz w:val="24"/>
          <w:szCs w:val="24"/>
        </w:rPr>
      </w:pPr>
    </w:p>
    <w:p w14:paraId="128B7840" w14:textId="77777777" w:rsidR="00D5433E" w:rsidRDefault="00D5433E">
      <w:pPr>
        <w:rPr>
          <w:color w:val="1F4E79" w:themeColor="accent5" w:themeShade="80"/>
          <w:sz w:val="24"/>
          <w:szCs w:val="24"/>
        </w:rPr>
      </w:pPr>
    </w:p>
    <w:p w14:paraId="5056CB3E" w14:textId="77777777" w:rsidR="00D5433E" w:rsidRDefault="00D5433E">
      <w:pPr>
        <w:rPr>
          <w:color w:val="1F4E79" w:themeColor="accent5" w:themeShade="80"/>
          <w:sz w:val="24"/>
          <w:szCs w:val="24"/>
        </w:rPr>
      </w:pPr>
    </w:p>
    <w:p w14:paraId="5870F93B" w14:textId="77777777" w:rsidR="00D5433E" w:rsidRDefault="00D5433E">
      <w:pPr>
        <w:rPr>
          <w:color w:val="1F4E79" w:themeColor="accent5" w:themeShade="80"/>
          <w:sz w:val="24"/>
          <w:szCs w:val="24"/>
        </w:rPr>
      </w:pPr>
    </w:p>
    <w:p w14:paraId="4D6A7333" w14:textId="77777777" w:rsidR="00D5433E" w:rsidRDefault="00D5433E">
      <w:pPr>
        <w:rPr>
          <w:color w:val="1F4E79" w:themeColor="accent5" w:themeShade="80"/>
          <w:sz w:val="24"/>
          <w:szCs w:val="24"/>
        </w:rPr>
      </w:pPr>
    </w:p>
    <w:p w14:paraId="5F10348C" w14:textId="77777777" w:rsidR="002779F4" w:rsidRDefault="002779F4">
      <w:pPr>
        <w:rPr>
          <w:color w:val="1F4E79" w:themeColor="accent5" w:themeShade="80"/>
          <w:sz w:val="24"/>
          <w:szCs w:val="24"/>
        </w:rPr>
      </w:pPr>
    </w:p>
    <w:sectPr w:rsidR="002779F4" w:rsidSect="00F73930">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8F623" w14:textId="77777777" w:rsidR="00D64B69" w:rsidRDefault="00D64B69" w:rsidP="00FC5C88">
      <w:pPr>
        <w:spacing w:after="0" w:line="240" w:lineRule="auto"/>
      </w:pPr>
      <w:r>
        <w:separator/>
      </w:r>
    </w:p>
  </w:endnote>
  <w:endnote w:type="continuationSeparator" w:id="0">
    <w:p w14:paraId="29C5DC3F" w14:textId="77777777" w:rsidR="00D64B69" w:rsidRDefault="00D64B69" w:rsidP="00FC5C88">
      <w:pPr>
        <w:spacing w:after="0" w:line="240" w:lineRule="auto"/>
      </w:pPr>
      <w:r>
        <w:continuationSeparator/>
      </w:r>
    </w:p>
  </w:endnote>
  <w:endnote w:type="continuationNotice" w:id="1">
    <w:p w14:paraId="4359E262" w14:textId="77777777" w:rsidR="00D64B69" w:rsidRDefault="00D64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D10A9" w14:textId="77777777" w:rsidR="00D64B69" w:rsidRDefault="00D64B69" w:rsidP="00FC5C88">
      <w:pPr>
        <w:spacing w:after="0" w:line="240" w:lineRule="auto"/>
      </w:pPr>
      <w:r>
        <w:separator/>
      </w:r>
    </w:p>
  </w:footnote>
  <w:footnote w:type="continuationSeparator" w:id="0">
    <w:p w14:paraId="62BB54EB" w14:textId="77777777" w:rsidR="00D64B69" w:rsidRDefault="00D64B69" w:rsidP="00FC5C88">
      <w:pPr>
        <w:spacing w:after="0" w:line="240" w:lineRule="auto"/>
      </w:pPr>
      <w:r>
        <w:continuationSeparator/>
      </w:r>
    </w:p>
  </w:footnote>
  <w:footnote w:type="continuationNotice" w:id="1">
    <w:p w14:paraId="1FBC212A" w14:textId="77777777" w:rsidR="00D64B69" w:rsidRDefault="00D64B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22F"/>
    <w:rsid w:val="00004E06"/>
    <w:rsid w:val="0002395C"/>
    <w:rsid w:val="000332DE"/>
    <w:rsid w:val="00040532"/>
    <w:rsid w:val="00042F5B"/>
    <w:rsid w:val="00062C17"/>
    <w:rsid w:val="000B55DE"/>
    <w:rsid w:val="000C2AE2"/>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D02E3"/>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34A5E"/>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22E3D"/>
    <w:rsid w:val="00653D45"/>
    <w:rsid w:val="00665686"/>
    <w:rsid w:val="0068168F"/>
    <w:rsid w:val="006B22C4"/>
    <w:rsid w:val="006D62D7"/>
    <w:rsid w:val="007019B5"/>
    <w:rsid w:val="00714A12"/>
    <w:rsid w:val="00725A24"/>
    <w:rsid w:val="007972AC"/>
    <w:rsid w:val="007F1199"/>
    <w:rsid w:val="00807910"/>
    <w:rsid w:val="00817275"/>
    <w:rsid w:val="0083587C"/>
    <w:rsid w:val="00840845"/>
    <w:rsid w:val="008410C3"/>
    <w:rsid w:val="008439A0"/>
    <w:rsid w:val="00846150"/>
    <w:rsid w:val="00853245"/>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64B69"/>
    <w:rsid w:val="00D80124"/>
    <w:rsid w:val="00D9483B"/>
    <w:rsid w:val="00DC131E"/>
    <w:rsid w:val="00DC739B"/>
    <w:rsid w:val="00E00206"/>
    <w:rsid w:val="00E76432"/>
    <w:rsid w:val="00E867F6"/>
    <w:rsid w:val="00EE1080"/>
    <w:rsid w:val="00F20ECA"/>
    <w:rsid w:val="00F2476D"/>
    <w:rsid w:val="00F2528C"/>
    <w:rsid w:val="00F30BA4"/>
    <w:rsid w:val="00F35B1B"/>
    <w:rsid w:val="00F4454F"/>
    <w:rsid w:val="00F467EC"/>
    <w:rsid w:val="00F47F85"/>
    <w:rsid w:val="00F55D94"/>
    <w:rsid w:val="00F73930"/>
    <w:rsid w:val="00FB749A"/>
    <w:rsid w:val="00FC37DF"/>
    <w:rsid w:val="00FC5C88"/>
    <w:rsid w:val="00FD46CE"/>
    <w:rsid w:val="00FE00FB"/>
    <w:rsid w:val="00FF646C"/>
    <w:rsid w:val="0837B027"/>
    <w:rsid w:val="0DBC2AEF"/>
    <w:rsid w:val="0FC7D758"/>
    <w:rsid w:val="152AA94A"/>
    <w:rsid w:val="20EBE951"/>
    <w:rsid w:val="2DCB213C"/>
    <w:rsid w:val="2EA8D60B"/>
    <w:rsid w:val="3044A66C"/>
    <w:rsid w:val="30AF45CA"/>
    <w:rsid w:val="313A11EE"/>
    <w:rsid w:val="31E076CD"/>
    <w:rsid w:val="3AED8779"/>
    <w:rsid w:val="3F418B09"/>
    <w:rsid w:val="44112D04"/>
    <w:rsid w:val="48902321"/>
    <w:rsid w:val="4D281267"/>
    <w:rsid w:val="544B08A7"/>
    <w:rsid w:val="57811A4A"/>
    <w:rsid w:val="5F86326A"/>
    <w:rsid w:val="67C25CB8"/>
    <w:rsid w:val="67F4E4E3"/>
    <w:rsid w:val="68B51E8F"/>
    <w:rsid w:val="70CB107A"/>
    <w:rsid w:val="73248A48"/>
    <w:rsid w:val="7C26EF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334911">
      <w:bodyDiv w:val="1"/>
      <w:marLeft w:val="0"/>
      <w:marRight w:val="0"/>
      <w:marTop w:val="0"/>
      <w:marBottom w:val="0"/>
      <w:divBdr>
        <w:top w:val="none" w:sz="0" w:space="0" w:color="auto"/>
        <w:left w:val="none" w:sz="0" w:space="0" w:color="auto"/>
        <w:bottom w:val="none" w:sz="0" w:space="0" w:color="auto"/>
        <w:right w:val="none" w:sz="0" w:space="0" w:color="auto"/>
      </w:divBdr>
    </w:div>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 w:id="10341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phw.nhs.wales/" TargetMode="External"/><Relationship Id="rId26" Type="http://schemas.openxmlformats.org/officeDocument/2006/relationships/hyperlink" Target="http://hiw.org.uk/?lang=en"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systems-and-services/for-patients-and-citizens-of-wales/welsh-gp-record/" TargetMode="Externa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https://dhcw.nhs.wales/" TargetMode="External"/><Relationship Id="rId20" Type="http://schemas.openxmlformats.org/officeDocument/2006/relationships/hyperlink" Target="https://www.hqip.org.uk/" TargetMode="External"/><Relationship Id="rId29" Type="http://schemas.openxmlformats.org/officeDocument/2006/relationships/hyperlink" Target="https://nwssp.nhs.wales/ourservices/medical-examiner-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researchwale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hw.nhs.wales/" TargetMode="External"/><Relationship Id="rId28" Type="http://schemas.openxmlformats.org/officeDocument/2006/relationships/hyperlink" Target="https://saildatabank.com/governance/privacy-by-design/" TargetMode="External"/><Relationship Id="rId10" Type="http://schemas.openxmlformats.org/officeDocument/2006/relationships/endnotes" Target="endnotes.xml"/><Relationship Id="rId19" Type="http://schemas.openxmlformats.org/officeDocument/2006/relationships/hyperlink" Target="http://www.publichealthwales.wales.nhs.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dhcw.nhs.wales/" TargetMode="External"/><Relationship Id="rId27" Type="http://schemas.openxmlformats.org/officeDocument/2006/relationships/hyperlink" Target="https://nwssp.nhs.wales/ourservices/legal-risk-services/privacy-notice/" TargetMode="External"/><Relationship Id="rId30" Type="http://schemas.openxmlformats.org/officeDocument/2006/relationships/hyperlink" Target="https://phw.nhs.wales/services-and-teams/wales-national-exercise-referral-sch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5" ma:contentTypeDescription="Create a new document." ma:contentTypeScope="" ma:versionID="e88d1c15d9fc4a428b20b3720b374550">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26e13745157e49205a92e5afddfcf58d"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F26FBFFD-E153-44FA-A661-7007E9D1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5240</Words>
  <Characters>29869</Characters>
  <Application>Microsoft Office Word</Application>
  <DocSecurity>0</DocSecurity>
  <Lines>248</Lines>
  <Paragraphs>70</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Paul Deaves (Mold - Pendre Surgery (Mold))</cp:lastModifiedBy>
  <cp:revision>2</cp:revision>
  <dcterms:created xsi:type="dcterms:W3CDTF">2024-08-27T10:01:00Z</dcterms:created>
  <dcterms:modified xsi:type="dcterms:W3CDTF">2024-08-27T10:01:00Z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